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77D" w:rsidRPr="00F04343" w:rsidRDefault="0032477D" w:rsidP="0032477D">
      <w:pPr>
        <w:tabs>
          <w:tab w:val="left" w:pos="7845"/>
        </w:tabs>
        <w:jc w:val="center"/>
        <w:rPr>
          <w:rFonts w:asciiTheme="minorHAnsi" w:hAnsiTheme="minorHAnsi" w:cstheme="minorHAnsi"/>
          <w:b/>
        </w:rPr>
      </w:pPr>
      <w:r w:rsidRPr="00F04343">
        <w:rPr>
          <w:rFonts w:asciiTheme="minorHAnsi" w:hAnsiTheme="minorHAnsi" w:cstheme="minorHAnsi"/>
          <w:b/>
        </w:rPr>
        <w:t>ИЗИСКВАНИЯ КЪМ ОФЕРТИТЕ</w:t>
      </w:r>
    </w:p>
    <w:p w:rsidR="0032477D" w:rsidRPr="00F04343" w:rsidRDefault="0032477D" w:rsidP="0032477D">
      <w:pPr>
        <w:tabs>
          <w:tab w:val="left" w:pos="7845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При изготвяне на офертата всеки кандидат трябва да се придържа точно към об</w:t>
      </w:r>
      <w:r w:rsidR="00F04343">
        <w:rPr>
          <w:rFonts w:asciiTheme="minorHAnsi" w:hAnsiTheme="minorHAnsi" w:cstheme="minorHAnsi"/>
          <w:sz w:val="18"/>
          <w:szCs w:val="18"/>
        </w:rPr>
        <w:t>явените от бенефициента условия:</w:t>
      </w:r>
    </w:p>
    <w:p w:rsidR="0032477D" w:rsidRPr="0096281C" w:rsidRDefault="0032477D" w:rsidP="0032477D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96281C">
        <w:rPr>
          <w:rFonts w:asciiTheme="minorHAnsi" w:hAnsiTheme="minorHAnsi" w:cstheme="minorHAnsi"/>
          <w:sz w:val="18"/>
          <w:szCs w:val="18"/>
        </w:rPr>
        <w:t>Кандидатът в процедурата има право да представи само една оферта.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Офертата следва  да е изготвена съобразно образеца от документацията и да съдържа техническо и ценово предложение. Към офертата следва да са приложени всички изискуеми от бенефициента документи, посочени в поканата.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В случай, че офертите за процедурата се представят и подписват от лице, различно от управляващия кандидата по регистрация се изисква нотариално заверено пълномощно или нотариално заверен препис на пълномощното 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 Тази хипотеза не включва декларацията по чл. 22, ал. 2, т. 1 от Постановление №118 на Министерския съвет от 20.05.2014 г., тъй като се декларират обстоятелства от лично естество и следва да се представи от лицата, които имат право на управляват и/или представляват кандидата.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Изискуемите документи към офертата следва да бъдат представени в оригинал/нотариално заверено копие, съответно заверени от кандидата копия с думите: „Вярно с оригинала”, подпис и печат съобразно изискванията на бенефициента към конкретните документи.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Документите, представени на чужд език, следва да бъдат придружени с превод на български език от заклет преводач.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 или с куриер. Върху плика кандидатът посочва: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1. име и адрес на бенефициента;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2. име, адрес за кореспонденция, телефон и по възможност - факс и електронен адрес на кандидата;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3. наименование на обекта на процедурата;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4. следното предписание: „Да не се отваря преди разглеждане от комисията за оценяване и класиране”.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Оферти, които са представени след изтичане на крайния срок за получаване или в незапечатан или скъсан плик, не се приемат от бенефициента и не се разглеждат.</w:t>
      </w:r>
    </w:p>
    <w:p w:rsidR="0032477D" w:rsidRPr="00F04343" w:rsidRDefault="0032477D" w:rsidP="0018627C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 на следната ел.</w:t>
      </w:r>
      <w:r w:rsidR="00F04343">
        <w:rPr>
          <w:rFonts w:asciiTheme="minorHAnsi" w:hAnsiTheme="minorHAnsi" w:cstheme="minorHAnsi"/>
          <w:sz w:val="18"/>
          <w:szCs w:val="18"/>
        </w:rPr>
        <w:t xml:space="preserve"> </w:t>
      </w:r>
      <w:r w:rsidRPr="00F04343">
        <w:rPr>
          <w:rFonts w:asciiTheme="minorHAnsi" w:hAnsiTheme="minorHAnsi" w:cstheme="minorHAnsi"/>
          <w:sz w:val="18"/>
          <w:szCs w:val="18"/>
        </w:rPr>
        <w:t xml:space="preserve">поща: </w:t>
      </w:r>
      <w:hyperlink r:id="rId7" w:history="1">
        <w:r w:rsidR="0018627C" w:rsidRPr="0018627C">
          <w:rPr>
            <w:rStyle w:val="Hyperlink"/>
            <w:rFonts w:asciiTheme="minorHAnsi" w:hAnsiTheme="minorHAnsi" w:cstheme="minorHAnsi"/>
            <w:sz w:val="20"/>
            <w:szCs w:val="20"/>
          </w:rPr>
          <w:t>quickhandsproject@yahoo.com</w:t>
        </w:r>
      </w:hyperlink>
      <w:r w:rsidR="0018627C">
        <w:t xml:space="preserve"> </w:t>
      </w:r>
      <w:r w:rsidR="005930BD">
        <w:t xml:space="preserve"> 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Всяка оферта, за да бъде допусната до разглеждане и оценка в процедурата следва да бъде в рамките на посочената прогнозна стойност.</w:t>
      </w:r>
      <w:bookmarkStart w:id="0" w:name="_GoBack"/>
      <w:bookmarkEnd w:id="0"/>
    </w:p>
    <w:sectPr w:rsidR="0032477D" w:rsidRPr="00F04343" w:rsidSect="003A1D82">
      <w:headerReference w:type="default" r:id="rId8"/>
      <w:footerReference w:type="default" r:id="rId9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705" w:rsidRDefault="00382705" w:rsidP="003922D4">
      <w:pPr>
        <w:spacing w:after="0" w:line="240" w:lineRule="auto"/>
      </w:pPr>
      <w:r>
        <w:separator/>
      </w:r>
    </w:p>
  </w:endnote>
  <w:endnote w:type="continuationSeparator" w:id="0">
    <w:p w:rsidR="00382705" w:rsidRDefault="00382705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343" w:rsidRPr="005A4E43" w:rsidRDefault="00F04343" w:rsidP="00F04343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705" w:rsidRDefault="00382705" w:rsidP="003922D4">
      <w:pPr>
        <w:spacing w:after="0" w:line="240" w:lineRule="auto"/>
      </w:pPr>
      <w:r>
        <w:separator/>
      </w:r>
    </w:p>
  </w:footnote>
  <w:footnote w:type="continuationSeparator" w:id="0">
    <w:p w:rsidR="00382705" w:rsidRDefault="00382705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F04343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F04343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F04343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F04343">
      <w:rPr>
        <w:rFonts w:asciiTheme="minorHAnsi" w:hAnsiTheme="minorHAnsi" w:cstheme="minorHAnsi"/>
        <w:b/>
        <w:sz w:val="22"/>
        <w:szCs w:val="22"/>
      </w:rPr>
      <w:t>П Р О Г Р А М А</w:t>
    </w:r>
  </w:p>
  <w:p w:rsidR="003922D4" w:rsidRPr="00F04343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F04343">
      <w:rPr>
        <w:rFonts w:asciiTheme="minorHAnsi" w:hAnsiTheme="minorHAnsi" w:cstheme="minorHAnsi"/>
        <w:b/>
        <w:i/>
        <w:sz w:val="22"/>
        <w:szCs w:val="22"/>
      </w:rPr>
      <w:t>________________________________________________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F04343">
      <w:rPr>
        <w:rFonts w:asciiTheme="minorHAnsi" w:hAnsiTheme="minorHAnsi" w:cstheme="minorHAnsi"/>
        <w:b/>
        <w:sz w:val="22"/>
        <w:szCs w:val="22"/>
      </w:rPr>
      <w:t xml:space="preserve">„КУЛТУРНО ПРЕДПРИЕМАЧЕСТВО, НАСЛЕДСТВО 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F04343">
      <w:rPr>
        <w:rFonts w:asciiTheme="minorHAnsi" w:hAnsiTheme="minorHAnsi" w:cstheme="minorHAnsi"/>
        <w:b/>
        <w:sz w:val="22"/>
        <w:szCs w:val="22"/>
      </w:rPr>
      <w:t>И СЪТРУДНИЧЕСТВО“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</w:p>
  <w:p w:rsidR="003922D4" w:rsidRPr="00F04343" w:rsidRDefault="003922D4">
    <w:pPr>
      <w:pStyle w:val="Header"/>
      <w:rPr>
        <w:rFonts w:asciiTheme="minorHAnsi" w:hAnsiTheme="minorHAnsi" w:cstheme="minorHAnsi"/>
        <w:sz w:val="22"/>
        <w:szCs w:val="22"/>
      </w:rPr>
    </w:pPr>
  </w:p>
  <w:p w:rsidR="00493059" w:rsidRPr="00F04343" w:rsidRDefault="00493059" w:rsidP="00493059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eastAsia="bg-BG"/>
      </w:rPr>
    </w:pPr>
    <w:r w:rsidRPr="00F04343">
      <w:rPr>
        <w:rFonts w:asciiTheme="minorHAnsi" w:eastAsia="Calibri" w:hAnsiTheme="minorHAnsi" w:cstheme="minorHAnsi"/>
        <w:noProof/>
        <w:sz w:val="22"/>
        <w:szCs w:val="22"/>
        <w:lang w:eastAsia="bg-BG"/>
      </w:rPr>
      <w:t>Работим заедно за по-зелена, по-конкурентна и по-приобщаваща Европа</w:t>
    </w:r>
  </w:p>
  <w:p w:rsidR="00493059" w:rsidRPr="00F04343" w:rsidRDefault="00382705" w:rsidP="0049305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val="en-US" w:eastAsia="bg-BG"/>
      </w:rPr>
    </w:pPr>
    <w:hyperlink r:id="rId3" w:history="1">
      <w:r w:rsidR="00493059" w:rsidRPr="00F04343">
        <w:rPr>
          <w:rStyle w:val="Hyperlink"/>
          <w:rFonts w:asciiTheme="minorHAnsi" w:eastAsia="Calibri" w:hAnsiTheme="minorHAnsi" w:cstheme="minorHAnsi"/>
          <w:noProof/>
          <w:sz w:val="22"/>
          <w:szCs w:val="22"/>
          <w:lang w:val="en-US" w:eastAsia="bg-BG"/>
        </w:rPr>
        <w:t>www.eeagrants.bg</w:t>
      </w:r>
    </w:hyperlink>
  </w:p>
  <w:p w:rsidR="00790282" w:rsidRPr="00790282" w:rsidRDefault="00790282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B61F6"/>
    <w:multiLevelType w:val="hybridMultilevel"/>
    <w:tmpl w:val="17662A7A"/>
    <w:lvl w:ilvl="0" w:tplc="77E2808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0D6302"/>
    <w:rsid w:val="001562A2"/>
    <w:rsid w:val="0018627C"/>
    <w:rsid w:val="0019277C"/>
    <w:rsid w:val="001A6629"/>
    <w:rsid w:val="001A6B35"/>
    <w:rsid w:val="00242F5C"/>
    <w:rsid w:val="00296BF1"/>
    <w:rsid w:val="002D5D9C"/>
    <w:rsid w:val="002F11D0"/>
    <w:rsid w:val="0032477D"/>
    <w:rsid w:val="00343440"/>
    <w:rsid w:val="00362C7C"/>
    <w:rsid w:val="00365044"/>
    <w:rsid w:val="00382705"/>
    <w:rsid w:val="003922D4"/>
    <w:rsid w:val="003A1D82"/>
    <w:rsid w:val="003B3083"/>
    <w:rsid w:val="00477E0C"/>
    <w:rsid w:val="00493059"/>
    <w:rsid w:val="004A2222"/>
    <w:rsid w:val="004E3085"/>
    <w:rsid w:val="004F0473"/>
    <w:rsid w:val="00516F4F"/>
    <w:rsid w:val="00575F1F"/>
    <w:rsid w:val="005930BD"/>
    <w:rsid w:val="005A1527"/>
    <w:rsid w:val="005B5967"/>
    <w:rsid w:val="005D6D9A"/>
    <w:rsid w:val="005E63CA"/>
    <w:rsid w:val="005F5BA4"/>
    <w:rsid w:val="00623A3C"/>
    <w:rsid w:val="0065695C"/>
    <w:rsid w:val="00684765"/>
    <w:rsid w:val="00685ECE"/>
    <w:rsid w:val="006A3C5A"/>
    <w:rsid w:val="006A47C5"/>
    <w:rsid w:val="006E0DC4"/>
    <w:rsid w:val="00716A62"/>
    <w:rsid w:val="00765C54"/>
    <w:rsid w:val="007764CF"/>
    <w:rsid w:val="00790282"/>
    <w:rsid w:val="00797437"/>
    <w:rsid w:val="007B4560"/>
    <w:rsid w:val="007B53D3"/>
    <w:rsid w:val="007B7F53"/>
    <w:rsid w:val="0081141B"/>
    <w:rsid w:val="0081774C"/>
    <w:rsid w:val="00823515"/>
    <w:rsid w:val="008B6CB1"/>
    <w:rsid w:val="008D764F"/>
    <w:rsid w:val="008E32F4"/>
    <w:rsid w:val="008E4C79"/>
    <w:rsid w:val="008E78C1"/>
    <w:rsid w:val="008F5C64"/>
    <w:rsid w:val="00901836"/>
    <w:rsid w:val="009139B3"/>
    <w:rsid w:val="009155C3"/>
    <w:rsid w:val="00934FFB"/>
    <w:rsid w:val="0096281C"/>
    <w:rsid w:val="00966CC7"/>
    <w:rsid w:val="0098299D"/>
    <w:rsid w:val="0099077D"/>
    <w:rsid w:val="009A73CE"/>
    <w:rsid w:val="009B1571"/>
    <w:rsid w:val="009F76C0"/>
    <w:rsid w:val="00A16D92"/>
    <w:rsid w:val="00A31B72"/>
    <w:rsid w:val="00A40DEB"/>
    <w:rsid w:val="00A71F16"/>
    <w:rsid w:val="00A97527"/>
    <w:rsid w:val="00AA0316"/>
    <w:rsid w:val="00AB6181"/>
    <w:rsid w:val="00AE27D5"/>
    <w:rsid w:val="00B134DD"/>
    <w:rsid w:val="00BA6311"/>
    <w:rsid w:val="00BB34B1"/>
    <w:rsid w:val="00C86D09"/>
    <w:rsid w:val="00C9330A"/>
    <w:rsid w:val="00CA1606"/>
    <w:rsid w:val="00CB1980"/>
    <w:rsid w:val="00D222CC"/>
    <w:rsid w:val="00D2415A"/>
    <w:rsid w:val="00D42C71"/>
    <w:rsid w:val="00D7111A"/>
    <w:rsid w:val="00DA5740"/>
    <w:rsid w:val="00DD5EFE"/>
    <w:rsid w:val="00E04E87"/>
    <w:rsid w:val="00EB134C"/>
    <w:rsid w:val="00EB2E14"/>
    <w:rsid w:val="00EC3091"/>
    <w:rsid w:val="00EE48A4"/>
    <w:rsid w:val="00EF2B9A"/>
    <w:rsid w:val="00F04343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4B80C"/>
  <w15:docId w15:val="{208DF58C-5ECC-4263-A532-A6DEE1B9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32477D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quickhandsproject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15</cp:revision>
  <cp:lastPrinted>2021-02-19T12:28:00Z</cp:lastPrinted>
  <dcterms:created xsi:type="dcterms:W3CDTF">2023-05-23T11:57:00Z</dcterms:created>
  <dcterms:modified xsi:type="dcterms:W3CDTF">2023-05-30T15:32:00Z</dcterms:modified>
</cp:coreProperties>
</file>